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390" w:rsidRPr="00026390" w:rsidRDefault="00026390" w:rsidP="00026390">
      <w:pPr>
        <w:spacing w:line="480" w:lineRule="auto"/>
        <w:ind w:firstLineChars="100" w:firstLine="220"/>
        <w:jc w:val="left"/>
        <w:rPr>
          <w:rFonts w:cs="Calibri"/>
          <w:sz w:val="22"/>
        </w:rPr>
      </w:pPr>
      <w:r w:rsidRPr="00026390">
        <w:rPr>
          <w:rFonts w:cs="Calibri"/>
          <w:sz w:val="22"/>
        </w:rPr>
        <w:t xml:space="preserve">The same OD of </w:t>
      </w:r>
      <w:r w:rsidRPr="00026390">
        <w:rPr>
          <w:rFonts w:eastAsia="GulliverRM" w:cs="Calibri"/>
          <w:i/>
          <w:kern w:val="0"/>
          <w:sz w:val="22"/>
        </w:rPr>
        <w:t>P.</w:t>
      </w:r>
      <w:bookmarkStart w:id="0" w:name="OLE_LINK9"/>
      <w:bookmarkEnd w:id="0"/>
      <w:r w:rsidRPr="00026390">
        <w:rPr>
          <w:rFonts w:eastAsia="GulliverRM" w:cs="Calibri"/>
          <w:i/>
          <w:kern w:val="0"/>
          <w:sz w:val="22"/>
        </w:rPr>
        <w:t xml:space="preserve"> </w:t>
      </w:r>
      <w:r w:rsidRPr="00026390">
        <w:rPr>
          <w:rFonts w:cs="Calibri"/>
          <w:i/>
          <w:iCs/>
          <w:sz w:val="22"/>
        </w:rPr>
        <w:t xml:space="preserve">acidipropionici </w:t>
      </w:r>
      <w:r w:rsidRPr="00026390">
        <w:rPr>
          <w:rFonts w:cs="Calibri"/>
          <w:sz w:val="22"/>
        </w:rPr>
        <w:t xml:space="preserve">CGMCC 1.2230 </w:t>
      </w:r>
      <w:r w:rsidRPr="00026390">
        <w:rPr>
          <w:rFonts w:eastAsia="GulliverRM" w:cs="Calibri"/>
          <w:kern w:val="0"/>
          <w:sz w:val="22"/>
        </w:rPr>
        <w:t xml:space="preserve">and </w:t>
      </w:r>
      <w:r w:rsidRPr="00026390">
        <w:rPr>
          <w:rFonts w:cs="Calibri"/>
          <w:i/>
          <w:kern w:val="0"/>
          <w:sz w:val="22"/>
        </w:rPr>
        <w:t>P. acidipropionici</w:t>
      </w:r>
      <w:r w:rsidRPr="00026390">
        <w:rPr>
          <w:rFonts w:cs="Calibri"/>
          <w:kern w:val="0"/>
          <w:sz w:val="22"/>
        </w:rPr>
        <w:t xml:space="preserve"> WSH1105 </w:t>
      </w:r>
      <w:r w:rsidRPr="00026390">
        <w:rPr>
          <w:rFonts w:cs="Calibri"/>
          <w:sz w:val="22"/>
        </w:rPr>
        <w:t>were collected at the middle exponential phase, late exponential phase, and the end of fermentation. To capture accurate snapshots of the metabolome, we quenched cell metabolism by immediately adding a threefold volume of</w:t>
      </w:r>
      <w:bookmarkStart w:id="1" w:name="OLE_LINK52"/>
      <w:bookmarkStart w:id="2" w:name="OLE_LINK53"/>
      <w:r w:rsidRPr="00026390">
        <w:rPr>
          <w:rFonts w:cs="Calibri"/>
          <w:sz w:val="22"/>
        </w:rPr>
        <w:t xml:space="preserve"> pre-chilled </w:t>
      </w:r>
      <w:bookmarkStart w:id="3" w:name="OLE_LINK50"/>
      <w:bookmarkStart w:id="4" w:name="OLE_LINK51"/>
      <w:bookmarkEnd w:id="1"/>
      <w:bookmarkEnd w:id="2"/>
      <w:r w:rsidRPr="00026390">
        <w:rPr>
          <w:rFonts w:cs="Calibri"/>
          <w:sz w:val="22"/>
        </w:rPr>
        <w:t>60% (v/v) methanol solution containing 70 mM 4-(2-hydroxyethyl)-1-piperazine ethanesulphonic acid</w:t>
      </w:r>
      <w:bookmarkEnd w:id="3"/>
      <w:bookmarkEnd w:id="4"/>
      <w:r w:rsidRPr="00026390">
        <w:rPr>
          <w:rFonts w:cs="Calibri"/>
          <w:sz w:val="22"/>
        </w:rPr>
        <w:t>. After quenching at –40°</w:t>
      </w:r>
      <w:r w:rsidRPr="00026390">
        <w:rPr>
          <w:rFonts w:eastAsia="GulliverRM" w:cs="Calibri"/>
          <w:kern w:val="0"/>
          <w:sz w:val="22"/>
        </w:rPr>
        <w:t>C</w:t>
      </w:r>
      <w:r w:rsidRPr="00026390">
        <w:rPr>
          <w:rFonts w:cs="Calibri"/>
          <w:sz w:val="22"/>
        </w:rPr>
        <w:t xml:space="preserve">, the cells were pelleted in a </w:t>
      </w:r>
      <w:bookmarkStart w:id="5" w:name="OLE_LINK54"/>
      <w:bookmarkStart w:id="6" w:name="OLE_LINK55"/>
      <w:r w:rsidRPr="00026390">
        <w:rPr>
          <w:rFonts w:cs="Calibri"/>
          <w:sz w:val="22"/>
        </w:rPr>
        <w:t>centrifuge</w:t>
      </w:r>
      <w:bookmarkEnd w:id="5"/>
      <w:bookmarkEnd w:id="6"/>
      <w:r w:rsidRPr="00026390">
        <w:rPr>
          <w:rFonts w:cs="Calibri"/>
          <w:sz w:val="22"/>
        </w:rPr>
        <w:t xml:space="preserve"> (4,000 × </w:t>
      </w:r>
      <w:r w:rsidRPr="00026390">
        <w:rPr>
          <w:rFonts w:cs="Calibri"/>
          <w:i/>
          <w:sz w:val="22"/>
        </w:rPr>
        <w:t>g</w:t>
      </w:r>
      <w:r w:rsidRPr="00026390">
        <w:rPr>
          <w:rFonts w:cs="Calibri"/>
          <w:sz w:val="22"/>
        </w:rPr>
        <w:t>, −4°</w:t>
      </w:r>
      <w:r w:rsidRPr="00026390">
        <w:rPr>
          <w:rFonts w:eastAsia="GulliverRM" w:cs="Calibri"/>
          <w:kern w:val="0"/>
          <w:sz w:val="22"/>
        </w:rPr>
        <w:t>C</w:t>
      </w:r>
      <w:r w:rsidRPr="00026390">
        <w:rPr>
          <w:rFonts w:cs="Calibri"/>
          <w:sz w:val="22"/>
        </w:rPr>
        <w:t xml:space="preserve">, 10 min). The pellets were washed with </w:t>
      </w:r>
      <w:r w:rsidRPr="00026390">
        <w:rPr>
          <w:rFonts w:cs="Calibri"/>
          <w:kern w:val="0"/>
          <w:sz w:val="22"/>
        </w:rPr>
        <w:t>methanol solution</w:t>
      </w:r>
      <w:r w:rsidRPr="00026390">
        <w:rPr>
          <w:rFonts w:cs="Calibri"/>
          <w:sz w:val="22"/>
        </w:rPr>
        <w:t xml:space="preserve"> and resuspended in 1 mL 35% perchloric acid to extract the metabolites from the cells. The mixture was frozen in liquid nitrogen and thawed three times. The supernatant was neutralized by adding K</w:t>
      </w:r>
      <w:r w:rsidRPr="00026390">
        <w:rPr>
          <w:rFonts w:cs="Calibri"/>
          <w:sz w:val="22"/>
          <w:vertAlign w:val="subscript"/>
        </w:rPr>
        <w:t>2</w:t>
      </w:r>
      <w:r w:rsidRPr="00026390">
        <w:rPr>
          <w:rFonts w:cs="Calibri"/>
          <w:sz w:val="22"/>
        </w:rPr>
        <w:t>CO</w:t>
      </w:r>
      <w:r w:rsidRPr="00026390">
        <w:rPr>
          <w:rFonts w:cs="Calibri"/>
          <w:sz w:val="22"/>
          <w:vertAlign w:val="subscript"/>
        </w:rPr>
        <w:t>3</w:t>
      </w:r>
      <w:r w:rsidRPr="00026390">
        <w:rPr>
          <w:rFonts w:cs="Calibri"/>
          <w:sz w:val="22"/>
        </w:rPr>
        <w:t xml:space="preserve"> solution with an </w:t>
      </w:r>
      <w:r w:rsidRPr="00026390">
        <w:rPr>
          <w:sz w:val="22"/>
        </w:rPr>
        <w:t xml:space="preserve">initial concentration of </w:t>
      </w:r>
      <w:r w:rsidRPr="00026390">
        <w:rPr>
          <w:rFonts w:cs="Calibri"/>
          <w:sz w:val="22"/>
        </w:rPr>
        <w:t xml:space="preserve">5 M, and an extract containing all metabolites was collected via centrifugation </w:t>
      </w:r>
      <w:r w:rsidRPr="00026390">
        <w:rPr>
          <w:rFonts w:eastAsia="GulliverRM" w:cs="Calibri"/>
          <w:kern w:val="0"/>
          <w:sz w:val="22"/>
        </w:rPr>
        <w:t xml:space="preserve">at </w:t>
      </w:r>
      <w:r w:rsidRPr="00026390">
        <w:rPr>
          <w:rFonts w:cs="Calibri"/>
          <w:sz w:val="22"/>
        </w:rPr>
        <w:t xml:space="preserve">10,000 × </w:t>
      </w:r>
      <w:r w:rsidRPr="00026390">
        <w:rPr>
          <w:rFonts w:cs="Calibri"/>
          <w:i/>
          <w:sz w:val="22"/>
        </w:rPr>
        <w:t>g</w:t>
      </w:r>
      <w:r w:rsidRPr="00026390">
        <w:rPr>
          <w:rFonts w:cs="Calibri"/>
          <w:sz w:val="22"/>
        </w:rPr>
        <w:t xml:space="preserve"> for 5 min at –4°</w:t>
      </w:r>
      <w:r w:rsidRPr="00026390">
        <w:rPr>
          <w:rFonts w:eastAsia="GulliverRM" w:cs="Calibri"/>
          <w:kern w:val="0"/>
          <w:sz w:val="22"/>
        </w:rPr>
        <w:t>C.</w:t>
      </w:r>
    </w:p>
    <w:p w:rsidR="00435B39" w:rsidRPr="00026390" w:rsidRDefault="00026390" w:rsidP="00026390">
      <w:pPr>
        <w:spacing w:line="480" w:lineRule="auto"/>
      </w:pPr>
      <w:r w:rsidRPr="00026390">
        <w:rPr>
          <w:rFonts w:cs="Calibri"/>
          <w:kern w:val="0"/>
          <w:sz w:val="22"/>
        </w:rPr>
        <w:t xml:space="preserve">LC-MS analysis was performed to detect the metabolites in the samples. Ten microliters of sample was injected into an LC-MS </w:t>
      </w:r>
      <w:r w:rsidRPr="00026390">
        <w:rPr>
          <w:rFonts w:eastAsia="Times New Roman"/>
        </w:rPr>
        <w:t xml:space="preserve">ion trap time-of-flight spectrometer </w:t>
      </w:r>
      <w:r w:rsidRPr="00026390">
        <w:rPr>
          <w:rFonts w:cs="Calibri"/>
          <w:kern w:val="0"/>
          <w:sz w:val="22"/>
        </w:rPr>
        <w:t xml:space="preserve">(Shimadzu, Kyoto, Japan) </w:t>
      </w:r>
      <w:bookmarkStart w:id="7" w:name="OLE_LINK62"/>
      <w:bookmarkStart w:id="8" w:name="OLE_LINK63"/>
      <w:r w:rsidRPr="00026390">
        <w:rPr>
          <w:rFonts w:cs="Calibri"/>
          <w:kern w:val="0"/>
          <w:sz w:val="22"/>
        </w:rPr>
        <w:t>equipped with</w:t>
      </w:r>
      <w:bookmarkEnd w:id="7"/>
      <w:bookmarkEnd w:id="8"/>
      <w:r w:rsidRPr="00026390">
        <w:rPr>
          <w:rFonts w:cs="Calibri"/>
          <w:kern w:val="0"/>
          <w:sz w:val="22"/>
        </w:rPr>
        <w:t xml:space="preserve"> a Shim-Pack VP-ODS 150 L × 2.0 </w:t>
      </w:r>
      <w:r w:rsidRPr="00026390">
        <w:rPr>
          <w:rFonts w:eastAsia="GulliverRM" w:cs="Calibri"/>
          <w:kern w:val="0"/>
          <w:sz w:val="22"/>
        </w:rPr>
        <w:t xml:space="preserve">high-performance liquid chromatography </w:t>
      </w:r>
      <w:r w:rsidRPr="00026390">
        <w:rPr>
          <w:rFonts w:cs="Calibri"/>
          <w:kern w:val="0"/>
          <w:sz w:val="22"/>
        </w:rPr>
        <w:t xml:space="preserve">column (Shimadzu). The samples were eluted at a flow rate of 0.2 mL/min with a gradient of 1 mM ammonium formate (A) and 80% methanol (v/v) containing 1 mM ammonium formate (B) as follows: 2% to 60% B for 15 min, 60% to 76% B </w:t>
      </w:r>
      <w:bookmarkStart w:id="9" w:name="OLE_LINK60"/>
      <w:bookmarkStart w:id="10" w:name="OLE_LINK61"/>
      <w:r w:rsidRPr="00026390">
        <w:rPr>
          <w:rFonts w:cs="Calibri"/>
          <w:kern w:val="0"/>
          <w:sz w:val="22"/>
        </w:rPr>
        <w:t>for</w:t>
      </w:r>
      <w:bookmarkEnd w:id="9"/>
      <w:bookmarkEnd w:id="10"/>
      <w:r w:rsidRPr="00026390">
        <w:rPr>
          <w:rFonts w:cs="Calibri"/>
          <w:kern w:val="0"/>
          <w:sz w:val="22"/>
        </w:rPr>
        <w:t xml:space="preserve"> 15 min, and 76% to 2% B for 5 min. An i</w:t>
      </w:r>
      <w:r w:rsidRPr="00026390">
        <w:rPr>
          <w:rFonts w:eastAsia="Times New Roman"/>
        </w:rPr>
        <w:t xml:space="preserve">on trap time-of-flight </w:t>
      </w:r>
      <w:r w:rsidRPr="00026390">
        <w:rPr>
          <w:rFonts w:cs="Calibri"/>
          <w:kern w:val="0"/>
          <w:sz w:val="22"/>
        </w:rPr>
        <w:t>detection (</w:t>
      </w:r>
      <w:bookmarkStart w:id="11" w:name="OLE_LINK14"/>
      <w:r w:rsidRPr="00026390">
        <w:rPr>
          <w:rFonts w:cs="Calibri"/>
          <w:kern w:val="0"/>
          <w:sz w:val="22"/>
        </w:rPr>
        <w:t>LCMS-IT-TOF</w:t>
      </w:r>
      <w:bookmarkEnd w:id="11"/>
      <w:r w:rsidRPr="00026390">
        <w:rPr>
          <w:rFonts w:cs="Calibri"/>
          <w:kern w:val="0"/>
          <w:sz w:val="22"/>
        </w:rPr>
        <w:t>, Shimadzu) by using an electrospray ionization source was performed in both positive and negative ion mode by using optimized conditions: detector voltage, 1.70 kV; nebulizing gas (N</w:t>
      </w:r>
      <w:r w:rsidRPr="00026390">
        <w:rPr>
          <w:rFonts w:cs="Calibri"/>
          <w:kern w:val="0"/>
          <w:sz w:val="22"/>
          <w:vertAlign w:val="subscript"/>
        </w:rPr>
        <w:t>2</w:t>
      </w:r>
      <w:r w:rsidRPr="00026390">
        <w:rPr>
          <w:rFonts w:cs="Calibri"/>
          <w:kern w:val="0"/>
          <w:sz w:val="22"/>
        </w:rPr>
        <w:t>) flow, 1.5 L/min; drying gas (N</w:t>
      </w:r>
      <w:r w:rsidRPr="00026390">
        <w:rPr>
          <w:rFonts w:cs="Calibri"/>
          <w:kern w:val="0"/>
          <w:sz w:val="22"/>
          <w:vertAlign w:val="subscript"/>
        </w:rPr>
        <w:t>2</w:t>
      </w:r>
      <w:r w:rsidRPr="00026390">
        <w:rPr>
          <w:rFonts w:cs="Calibri"/>
          <w:kern w:val="0"/>
          <w:sz w:val="22"/>
        </w:rPr>
        <w:t xml:space="preserve">) flow, 200 kPa; ion accumulation time, 30 ms; </w:t>
      </w:r>
      <w:r w:rsidRPr="00026390">
        <w:rPr>
          <w:rFonts w:cs="Calibri"/>
          <w:sz w:val="22"/>
        </w:rPr>
        <w:t>collision energy, 40% for MS</w:t>
      </w:r>
      <w:r w:rsidRPr="00026390">
        <w:rPr>
          <w:rFonts w:cs="Calibri"/>
          <w:sz w:val="22"/>
          <w:vertAlign w:val="superscript"/>
        </w:rPr>
        <w:t>2</w:t>
      </w:r>
      <w:r w:rsidRPr="00026390">
        <w:rPr>
          <w:rFonts w:cs="Calibri"/>
          <w:kern w:val="0"/>
          <w:sz w:val="22"/>
        </w:rPr>
        <w:t xml:space="preserve">; mass acquisition at </w:t>
      </w:r>
      <w:r w:rsidRPr="00026390">
        <w:rPr>
          <w:rFonts w:cs="Calibri"/>
          <w:i/>
          <w:kern w:val="0"/>
          <w:sz w:val="22"/>
        </w:rPr>
        <w:t>m/z</w:t>
      </w:r>
      <w:r w:rsidRPr="00026390">
        <w:rPr>
          <w:rFonts w:cs="Calibri"/>
          <w:kern w:val="0"/>
          <w:sz w:val="22"/>
        </w:rPr>
        <w:t xml:space="preserve"> </w:t>
      </w:r>
      <w:bookmarkStart w:id="12" w:name="OLE_LINK69"/>
      <w:bookmarkStart w:id="13" w:name="OLE_LINK70"/>
      <w:r w:rsidRPr="00026390">
        <w:rPr>
          <w:rFonts w:eastAsia="GulliverRM" w:cs="Calibri"/>
          <w:kern w:val="0"/>
          <w:sz w:val="22"/>
        </w:rPr>
        <w:t>50–1000</w:t>
      </w:r>
      <w:bookmarkEnd w:id="12"/>
      <w:bookmarkEnd w:id="13"/>
      <w:r w:rsidRPr="00026390">
        <w:rPr>
          <w:rFonts w:eastAsia="GulliverRM" w:cs="Calibri"/>
          <w:kern w:val="0"/>
          <w:sz w:val="22"/>
        </w:rPr>
        <w:t xml:space="preserve"> for </w:t>
      </w:r>
      <w:r w:rsidRPr="00026390">
        <w:rPr>
          <w:rFonts w:cs="Calibri"/>
          <w:sz w:val="22"/>
        </w:rPr>
        <w:t>MS</w:t>
      </w:r>
      <w:r w:rsidRPr="00026390">
        <w:rPr>
          <w:rFonts w:eastAsia="GulliverRM" w:cs="Calibri"/>
          <w:kern w:val="0"/>
          <w:sz w:val="22"/>
        </w:rPr>
        <w:t xml:space="preserve"> and </w:t>
      </w:r>
      <w:r w:rsidRPr="00026390">
        <w:rPr>
          <w:rFonts w:cs="Calibri"/>
          <w:sz w:val="22"/>
        </w:rPr>
        <w:t>MS</w:t>
      </w:r>
      <w:r w:rsidRPr="00026390">
        <w:rPr>
          <w:rFonts w:cs="Calibri"/>
          <w:sz w:val="22"/>
          <w:vertAlign w:val="superscript"/>
        </w:rPr>
        <w:t>2</w:t>
      </w:r>
      <w:r w:rsidRPr="00026390">
        <w:rPr>
          <w:rFonts w:cs="Calibri"/>
          <w:kern w:val="0"/>
          <w:sz w:val="22"/>
        </w:rPr>
        <w:t>.</w:t>
      </w:r>
      <w:bookmarkStart w:id="14" w:name="_GoBack"/>
      <w:bookmarkEnd w:id="14"/>
    </w:p>
    <w:sectPr w:rsidR="00435B39" w:rsidRPr="000263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653" w:rsidRDefault="00B87653" w:rsidP="00026390">
      <w:r>
        <w:separator/>
      </w:r>
    </w:p>
  </w:endnote>
  <w:endnote w:type="continuationSeparator" w:id="0">
    <w:p w:rsidR="00B87653" w:rsidRDefault="00B87653" w:rsidP="00026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liverRM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653" w:rsidRDefault="00B87653" w:rsidP="00026390">
      <w:r>
        <w:separator/>
      </w:r>
    </w:p>
  </w:footnote>
  <w:footnote w:type="continuationSeparator" w:id="0">
    <w:p w:rsidR="00B87653" w:rsidRDefault="00B87653" w:rsidP="000263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340"/>
    <w:rsid w:val="00026390"/>
    <w:rsid w:val="00154340"/>
    <w:rsid w:val="00435B39"/>
    <w:rsid w:val="00B8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81A6280-D673-442C-9245-91E45C8CD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39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63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63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63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6390"/>
    <w:rPr>
      <w:sz w:val="18"/>
      <w:szCs w:val="18"/>
    </w:rPr>
  </w:style>
  <w:style w:type="paragraph" w:customStyle="1" w:styleId="-11">
    <w:name w:val="彩色列表 - 强调文字颜色 11"/>
    <w:basedOn w:val="a"/>
    <w:uiPriority w:val="34"/>
    <w:qFormat/>
    <w:rsid w:val="0002639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1561</Characters>
  <Application>Microsoft Office Word</Application>
  <DocSecurity>0</DocSecurity>
  <Lines>13</Lines>
  <Paragraphs>3</Paragraphs>
  <ScaleCrop>false</ScaleCrop>
  <Company>Microsoft</Company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管宁子</dc:creator>
  <cp:keywords/>
  <dc:description/>
  <cp:lastModifiedBy>管宁子</cp:lastModifiedBy>
  <cp:revision>2</cp:revision>
  <dcterms:created xsi:type="dcterms:W3CDTF">2014-11-13T17:38:00Z</dcterms:created>
  <dcterms:modified xsi:type="dcterms:W3CDTF">2014-11-13T17:39:00Z</dcterms:modified>
</cp:coreProperties>
</file>